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38338642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POPISA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61156E10" w:rsidR="00AF1B4B" w:rsidRDefault="001179A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</w:rPr>
        <w:t>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opis aktivnih tvari dozvoljenih za uporabu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B57619">
        <w:rPr>
          <w:rFonts w:ascii="Times New Roman" w:hAnsi="Times New Roman" w:cs="Times New Roman"/>
          <w:sz w:val="24"/>
          <w:szCs w:val="24"/>
          <w:lang w:val="en-GB"/>
        </w:rPr>
        <w:t>11/25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Pr="007E5E90">
        <w:rPr>
          <w:rFonts w:ascii="Times New Roman" w:hAnsi="Times New Roman" w:cs="Times New Roman"/>
          <w:sz w:val="24"/>
          <w:szCs w:val="24"/>
        </w:rPr>
        <w:t xml:space="preserve"> (u daljem tekstu: Popis)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816A37" w14:textId="5E96F08C" w:rsidR="00BA2095" w:rsidRDefault="00BA209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C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2463"/>
        <w:gridCol w:w="1608"/>
        <w:gridCol w:w="2666"/>
        <w:gridCol w:w="1419"/>
        <w:gridCol w:w="5382"/>
      </w:tblGrid>
      <w:tr w:rsidR="00BA2095" w:rsidRPr="00BA2095" w14:paraId="2D4140C1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332411" w14:textId="77777777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FB7F1B" w14:textId="016AE4CA" w:rsidR="00BA2095" w:rsidRPr="00BA2095" w:rsidRDefault="00BA2095" w:rsidP="00BA2095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483455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0C6EBB" w14:textId="28C51144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00CB35" w14:textId="266917DC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8090D7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 odredbe</w:t>
            </w:r>
          </w:p>
        </w:tc>
      </w:tr>
      <w:tr w:rsidR="00BA2095" w:rsidRPr="00BA2095" w14:paraId="1C307988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5DEBE1" w14:textId="2B3415FA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28 .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2EE052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 sjemenki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(ekstrakt sjemenki grožđa)</w:t>
            </w:r>
          </w:p>
          <w:p w14:paraId="2A606B81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br.: nije dostupan</w:t>
            </w:r>
          </w:p>
          <w:p w14:paraId="5008F2CD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 nije dostupan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57927F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 dostupan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9BB473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Najmanje 75 % oligomernih proantocijanidina na bezvodnoj osnovi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66A754" w14:textId="54CE5B8D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2DFC2F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 sjemenki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(ekstrakt sjemenki grožđa) mora se upotrebljavati u skladu s posebnim uvjetima uvrštenima u zaključke izvješća o procjeni za ekstrakt sjemenki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(ekstrakt sjemenki grožđa) (PLAN/2024/800 RR rev3), a posebno s njegovim dodacima I. i II.”</w:t>
            </w:r>
          </w:p>
        </w:tc>
      </w:tr>
    </w:tbl>
    <w:p w14:paraId="431170DE" w14:textId="77777777" w:rsidR="00BA2095" w:rsidRDefault="00BA2095" w:rsidP="00BA2095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2FAB1BC" w14:textId="656424C5" w:rsidR="00BA2095" w:rsidRPr="00BC7A84" w:rsidRDefault="00BC7A84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ziram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31.1.2027.</w:t>
      </w:r>
    </w:p>
    <w:p w14:paraId="695F3E71" w14:textId="10899204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fenmedifam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30.9.2026.</w:t>
      </w:r>
    </w:p>
    <w:p w14:paraId="77B58ADF" w14:textId="7B390B5B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milbemektin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31.5.2026.</w:t>
      </w:r>
    </w:p>
    <w:p w14:paraId="0995C52E" w14:textId="5467AFAA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pirimikarb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41FEEABA" w14:textId="0FA769DB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tritikonazol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31.1.2027.</w:t>
      </w:r>
    </w:p>
    <w:p w14:paraId="06E27097" w14:textId="6D937DDB" w:rsidR="00BC7A84" w:rsidRPr="00BC7A84" w:rsidRDefault="00BC7A84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ciprodinil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72D65181" w14:textId="599FA0BF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fosetil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6666A1D2" w14:textId="5C592400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diklorprop-P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27CBDEC3" w14:textId="0323B6C9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pirimetanil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30.6.2026.</w:t>
      </w:r>
    </w:p>
    <w:p w14:paraId="2E493153" w14:textId="4C90BDB4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spinosad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57704783" w14:textId="7963EB71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formetanat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30.9.2026.</w:t>
      </w:r>
    </w:p>
    <w:p w14:paraId="12B59E56" w14:textId="2A4D9C67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967E31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</w:t>
      </w:r>
      <w:r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richoderma atroviride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T11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43D7BCBB" w14:textId="0FFDCD50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harzianum Rifai sojevi T-22 i ITEM 908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10AB8AE1" w14:textId="1BCC93E8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 (prije T. harzianum) sojevi ICC012, T-25 i TV-1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6FC900DB" w14:textId="5D4EC578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 (prije T. viride) soj ICC080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36A53994" w14:textId="53AC8ED6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sumpor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31.7.2026.</w:t>
      </w:r>
    </w:p>
    <w:p w14:paraId="2D1874C7" w14:textId="3F0E2968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halosulfuron-metil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02A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02A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65BCF80C" w14:textId="39B1487A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Pseudomonas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sp. soj DSMZ 13134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09513BCD" w14:textId="596EE740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Aureobasidium pullulans 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(sojevi DSM 14940 i DSM 14941)</w:t>
      </w:r>
      <w:r w:rsidRPr="00E202A6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035ECF9D" w14:textId="2AF6A70C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piriofenon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26C6E3DB" w14:textId="4AACEA8B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benalaksil-M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30.9.2027.</w:t>
      </w:r>
    </w:p>
    <w:p w14:paraId="48888F41" w14:textId="33675924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piroksulam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30.9.2027.</w:t>
      </w:r>
    </w:p>
    <w:p w14:paraId="6314E1BB" w14:textId="2D289F5D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amyloliquefaciens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plantarum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D747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31.8.2027.</w:t>
      </w:r>
    </w:p>
    <w:p w14:paraId="4C6A7E74" w14:textId="503B04C5" w:rsidR="00E202A6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8745FC">
        <w:rPr>
          <w:rFonts w:ascii="Times New Roman" w:hAnsi="Times New Roman" w:cs="Times New Roman"/>
          <w:sz w:val="24"/>
          <w:szCs w:val="24"/>
          <w:lang w:val="sr-Latn-BA"/>
        </w:rPr>
        <w:t>B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1943"/>
        <w:gridCol w:w="1347"/>
        <w:gridCol w:w="1089"/>
        <w:gridCol w:w="1430"/>
        <w:gridCol w:w="1419"/>
        <w:gridCol w:w="6357"/>
      </w:tblGrid>
      <w:tr w:rsidR="00A639F4" w:rsidRPr="00E202A6" w14:paraId="2802FD08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779CD" w14:textId="65E5C0CD" w:rsidR="00A639F4" w:rsidRPr="00E202A6" w:rsidRDefault="00A639F4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89DA4" w14:textId="6759147C" w:rsidR="00A639F4" w:rsidRPr="00E202A6" w:rsidRDefault="00A639F4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747331" w14:textId="7DF2769A" w:rsidR="00A639F4" w:rsidRPr="00E202A6" w:rsidRDefault="00A639F4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741E1C" w14:textId="1E027AB9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BCA9" w14:textId="4FF1A5C3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598AD8" w14:textId="5274E0C1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 odobrenja</w:t>
            </w:r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30463B" w14:textId="4FDAA05C" w:rsidR="00A639F4" w:rsidRPr="00896587" w:rsidRDefault="00A639F4" w:rsidP="00A639F4">
            <w:pPr>
              <w:spacing w:before="60" w:after="60" w:line="312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E202A6" w:rsidRPr="00E202A6" w14:paraId="6B02CE05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9FF4FC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864E33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Pythium oligandrum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B301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72D9FD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1821F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 značajnih nečistoća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89B67A" w14:textId="58A21B64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2A50A4" w14:textId="16040B0A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2035.</w:t>
            </w:r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805943" w14:textId="77777777" w:rsidR="0066478F" w:rsidRPr="0066478F" w:rsidRDefault="0066478F" w:rsidP="00E202A6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647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aktivne tvari od strane relevantnih tijela Europske unije. </w:t>
            </w:r>
          </w:p>
          <w:p w14:paraId="1E7C11E2" w14:textId="68B54E0E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toj ukupnoj procjeni </w:t>
            </w:r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potrebno je 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 posebnu pozornost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102"/>
            </w:tblGrid>
            <w:tr w:rsidR="00E202A6" w:rsidRPr="00E202A6" w14:paraId="6CF7CDB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8C6DAE7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FC8948E" w14:textId="607F861E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zaštitu </w:t>
                  </w:r>
                  <w:r w:rsid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 sredstava</w:t>
                  </w: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 uzimajući u obzir da se mikroorganizmi sami po sebi smatraju tvarima koje mogu uzrokovati preosjetljivost, te moraju osigurati da uvjeti uporabe uključuju uporabu odgovarajućih osobnih zaštitnih sredstava,</w:t>
                  </w:r>
                </w:p>
              </w:tc>
            </w:tr>
          </w:tbl>
          <w:p w14:paraId="799D0122" w14:textId="77777777" w:rsidR="00E202A6" w:rsidRPr="00E202A6" w:rsidRDefault="00E202A6" w:rsidP="00E202A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102"/>
            </w:tblGrid>
            <w:tr w:rsidR="00E202A6" w:rsidRPr="00E202A6" w14:paraId="1E2B52B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417329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4EB9E79" w14:textId="1045C331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 li proizvođač strogo održavanje okolišnih uvjeta i analizu kontrole kvalitete tijekom proizvodnog postupka radi poštovanja graničnih vrijednosti mikrobiološke kontaminacije iz OECD-ova dokumenta br. 65 o graničnim vrijednostima mikrobne kontaminacije u mikrobnim sredstvima za suzbijanje štetnih organizama.</w:t>
                  </w:r>
                </w:p>
              </w:tc>
            </w:tr>
          </w:tbl>
          <w:p w14:paraId="7F11DAC6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 uporabe prema potrebi uključuju mjere za smanjenje rizika.</w:t>
            </w:r>
          </w:p>
        </w:tc>
      </w:tr>
    </w:tbl>
    <w:p w14:paraId="04574321" w14:textId="77777777" w:rsidR="00E202A6" w:rsidRPr="00BC7A84" w:rsidRDefault="00E202A6" w:rsidP="00E202A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D8CCB2" w14:textId="0164304D" w:rsidR="00355697" w:rsidRDefault="00355697" w:rsidP="0035569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D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098"/>
        <w:gridCol w:w="1479"/>
        <w:gridCol w:w="1189"/>
        <w:gridCol w:w="1269"/>
        <w:gridCol w:w="1420"/>
        <w:gridCol w:w="6028"/>
      </w:tblGrid>
      <w:tr w:rsidR="00A639F4" w:rsidRPr="00355697" w14:paraId="0EA2978F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714D8B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B8A337" w14:textId="7CC8548D" w:rsidR="00355697" w:rsidRPr="00355697" w:rsidRDefault="00A639F4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naziv, identifikacijski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5A4706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Kemijski naziv </w:t>
            </w: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63AD6A" w14:textId="032357E2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007547" w14:textId="466F7C56" w:rsidR="00355697" w:rsidRPr="00355697" w:rsidRDefault="00A639F4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A0005C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3A7B8C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A639F4" w:rsidRPr="00355697" w14:paraId="1B254E07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9CF96E" w14:textId="357D4A0F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19B872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Betabaculovirus phoperculellae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C5ABD4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DC99E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0C97EE" w14:textId="1B76373E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2D3DA9" w14:textId="6831DDFA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27E462" w14:textId="77777777" w:rsidR="0066478F" w:rsidRPr="0066478F" w:rsidRDefault="0066478F" w:rsidP="00355697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647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aktivne tvari od strane relevantnih tijela Europske unije. </w:t>
            </w:r>
          </w:p>
          <w:p w14:paraId="6FC3806C" w14:textId="27FAE4CA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toj ukupnoj procjeni 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potrebno je 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 posebnu pozornost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773"/>
            </w:tblGrid>
            <w:tr w:rsidR="00355697" w:rsidRPr="00355697" w14:paraId="0A57422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3A229510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BD5AF5" w14:textId="7FDA799E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zaštitu </w:t>
                  </w:r>
                  <w:r w:rsidR="00A639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 sredstava</w:t>
                  </w: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 uzimajući u obzir da se svi mikroorganizmi sami po sebi smatraju tvarima koje mogu uzrokovati preosjetljivost, te moraju osigurati da uvjeti uporabe uključuju primjenu odgovarajućih osobnih zaštitnih sredstava,</w:t>
                  </w:r>
                </w:p>
              </w:tc>
            </w:tr>
          </w:tbl>
          <w:p w14:paraId="50924B4E" w14:textId="77777777" w:rsidR="00355697" w:rsidRPr="00355697" w:rsidRDefault="00355697" w:rsidP="0035569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773"/>
            </w:tblGrid>
            <w:tr w:rsidR="00355697" w:rsidRPr="00355697" w14:paraId="78CF36B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5FC774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07377FE" w14:textId="7B78A4FF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 li proizvođač strogo održavanje okolišnih uvjeta i analizu kontrole kvalitete tijekom proizvodnog postupka radi poštovanja graničnih vrijednosti mikrobiološke kontaminacije iz OECD-ova dokumenta br. 65 o graničnim vrijednostima mikrobne kontaminacije u mikrobnim sredstvima za suzbijanje štetnih organizama.</w:t>
                  </w:r>
                </w:p>
              </w:tc>
            </w:tr>
          </w:tbl>
          <w:p w14:paraId="40731CD1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 uporabe prema potrebi uključuju mjere za smanjenje rizika.</w:t>
            </w:r>
          </w:p>
        </w:tc>
      </w:tr>
    </w:tbl>
    <w:p w14:paraId="76418424" w14:textId="77777777" w:rsidR="00BC7A84" w:rsidRPr="00BC7A84" w:rsidRDefault="00BC7A84" w:rsidP="0035569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35208DC" w14:textId="77777777" w:rsidR="00A639F4" w:rsidRDefault="00A639F4" w:rsidP="00A639F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D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2158"/>
        <w:gridCol w:w="1711"/>
        <w:gridCol w:w="1452"/>
        <w:gridCol w:w="1393"/>
        <w:gridCol w:w="1538"/>
        <w:gridCol w:w="5426"/>
      </w:tblGrid>
      <w:tr w:rsidR="00A639F4" w:rsidRPr="00A639F4" w14:paraId="1CE9E6E4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F32929" w14:textId="77777777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ED558" w14:textId="156D683A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naziv, identifikacijski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CB8DCC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Kemijski naziv prema </w:t>
            </w: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0BBCA1" w14:textId="21443EC1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502728" w14:textId="79156FBB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B0BFE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07B650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 odredbe</w:t>
            </w:r>
          </w:p>
        </w:tc>
      </w:tr>
      <w:tr w:rsidR="00A639F4" w:rsidRPr="00A639F4" w14:paraId="21CA6BC5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4B8BC6" w14:textId="30FE6B7A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3E07B0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Bacillus subtilis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RTI477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B9E631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C0DE5C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1F534E" w14:textId="1AAC7C40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B8FAE" w14:textId="042C6712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B9F64C" w14:textId="77777777" w:rsidR="0066478F" w:rsidRPr="0066478F" w:rsidRDefault="0066478F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647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aktivne tvari od strane relevantnih tijela Europske unije. </w:t>
            </w:r>
          </w:p>
          <w:p w14:paraId="5F30FD27" w14:textId="1DF09612" w:rsid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 toj ukupnoj procjeni </w:t>
            </w:r>
            <w:r w:rsidR="007A7D5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potrebno je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obratiti posebnu pozornost na sljedeće:</w:t>
            </w:r>
          </w:p>
          <w:p w14:paraId="210101A2" w14:textId="77777777" w:rsidR="007A7D56" w:rsidRPr="00A639F4" w:rsidRDefault="007A7D56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11"/>
            </w:tblGrid>
            <w:tr w:rsidR="00A639F4" w:rsidRPr="00A639F4" w14:paraId="1FA5EEB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56CAEC9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57A4B41" w14:textId="63AF1C98" w:rsidR="00A639F4" w:rsidRPr="00A639F4" w:rsidRDefault="007A7D56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Z</w:t>
                  </w:r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aštitu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korisnika sredstava</w:t>
                  </w:r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 uzimajući u obzir da se mikroorganizmi sami po sebi smatraju tvarima koje mogu uzrokovati preosjetljivost, te moraju osigurati da uvjeti uporabe uključuju primjenu odgovarajućih osobnih zaštitnih sredstava,</w:t>
                  </w:r>
                </w:p>
              </w:tc>
            </w:tr>
          </w:tbl>
          <w:p w14:paraId="3BC447E9" w14:textId="77777777" w:rsidR="00A639F4" w:rsidRPr="00A639F4" w:rsidRDefault="00A639F4" w:rsidP="00A639F4">
            <w:pPr>
              <w:pStyle w:val="ListParagraph"/>
              <w:spacing w:line="276" w:lineRule="auto"/>
              <w:ind w:left="360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11"/>
            </w:tblGrid>
            <w:tr w:rsidR="00A639F4" w:rsidRPr="00A639F4" w14:paraId="7C11A2F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4079686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2268D8F" w14:textId="367AD0CA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osigurava li proizvođač strogo održavanje okolišnih uvjeta i analizu kontrole kvalitete tijekom proizvodnog postupka radi poštovanja graničnih vrijednosti mikrobiološke kontaminacije iz OECD-ova dokumenta br. 65 o graničnim vrijednostima mikrobne kontaminacije u mikrobnim sredstvima za suzbijanje štetnih organizama.</w:t>
                  </w:r>
                </w:p>
              </w:tc>
            </w:tr>
          </w:tbl>
          <w:p w14:paraId="4BA55C15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Uvjeti uporabe prema potrebi uključuju mjere za smanjenje rizika.</w:t>
            </w:r>
          </w:p>
        </w:tc>
      </w:tr>
    </w:tbl>
    <w:p w14:paraId="7495448A" w14:textId="77777777" w:rsidR="007A7D56" w:rsidRDefault="007A7D56" w:rsidP="007A7D5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D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145"/>
        <w:gridCol w:w="1493"/>
        <w:gridCol w:w="1199"/>
        <w:gridCol w:w="1275"/>
        <w:gridCol w:w="1426"/>
        <w:gridCol w:w="5945"/>
      </w:tblGrid>
      <w:tr w:rsidR="007A7D56" w:rsidRPr="007A7D56" w14:paraId="315CDF16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8FB9EB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DC7138" w14:textId="45E51138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F04D22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CBD862" w14:textId="7FD2693B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3908EF" w14:textId="5D47D979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1890CA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7778A9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7A7D56" w:rsidRPr="007A7D56" w14:paraId="1016BB12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E713DA" w14:textId="6B91D6C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F16944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Bacillus velezensis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RTI301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600BBB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AEB6FD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 značajnih nečistoća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AEC847" w14:textId="222103A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460066" w14:textId="1F1C2CCB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AFB995" w14:textId="77777777" w:rsidR="0066478F" w:rsidRPr="0066478F" w:rsidRDefault="0066478F" w:rsidP="007A7D56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647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provedbu jedinstvenih načela iz propisa o jedinstvenim načelima za ocjenjivanje FFS, pri donošenju odluke o registraciji uzimaju se u obzir i zaključci postupka razmatranja aktivne tvari od strane relevantnih tijela Europske unije. </w:t>
            </w:r>
          </w:p>
          <w:p w14:paraId="6ADB1F68" w14:textId="35E6434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toj ukupnoj procjeni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 je obratiti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posebnu pozornost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690"/>
            </w:tblGrid>
            <w:tr w:rsidR="007A7D56" w:rsidRPr="007A7D56" w14:paraId="6A86BF6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350D2FD" w14:textId="777777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EBB17A3" w14:textId="399FB5C4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zaštitu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 uzimajući u obzir da se mikroorganizmi sami po sebi smatraju tvarima koje mogu uzrokovati preosjetljivost, te moraju osigurati da uvjeti uporabe uključuju uporabu odgovarajućih osobnih zaštitnih sredstava,</w:t>
                  </w:r>
                </w:p>
              </w:tc>
            </w:tr>
          </w:tbl>
          <w:p w14:paraId="4E6A9223" w14:textId="77777777" w:rsidR="007A7D56" w:rsidRPr="007A7D56" w:rsidRDefault="007A7D56" w:rsidP="007A7D5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690"/>
            </w:tblGrid>
            <w:tr w:rsidR="007A7D56" w:rsidRPr="007A7D56" w14:paraId="05C856F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97524E0" w14:textId="777777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E148F40" w14:textId="16EF2CE8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 li proizvođač strogo održavanje okolišnih uvjeta i analizu kontrole kvalitete tijekom proizvodnog postupka radi poštovanja graničnih vrijednosti mikrobiološke kontaminacije iz radnog dokumenta OECD-a </w:t>
                  </w:r>
                  <w:r w:rsidRPr="007A7D56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Issue Paper on Microbial Contaminants Limits for Microbial Pest Control Products No. 65</w:t>
                  </w: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.</w:t>
                  </w:r>
                </w:p>
              </w:tc>
            </w:tr>
          </w:tbl>
          <w:p w14:paraId="71BD8EA8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 uporabe prema potrebi uključuju mjere za smanjenje rizika.</w:t>
            </w:r>
          </w:p>
        </w:tc>
      </w:tr>
    </w:tbl>
    <w:p w14:paraId="62A4DF6F" w14:textId="77777777" w:rsidR="00BC7A84" w:rsidRPr="00BC7A84" w:rsidRDefault="00BC7A84" w:rsidP="007A7D5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4170061" w14:textId="7CBCC9B8" w:rsidR="005235D4" w:rsidRDefault="005235D4" w:rsidP="005235D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Popisa, </w:t>
      </w:r>
      <w:r w:rsidRPr="005235D4">
        <w:rPr>
          <w:rFonts w:ascii="Times New Roman" w:hAnsi="Times New Roman" w:cs="Times New Roman"/>
          <w:sz w:val="24"/>
          <w:szCs w:val="24"/>
        </w:rPr>
        <w:t>redak 28., vodeni ekstrakt iz proklijalih sjemenki biljke slatki </w:t>
      </w:r>
      <w:r w:rsidRPr="005235D4">
        <w:rPr>
          <w:rFonts w:ascii="Times New Roman" w:hAnsi="Times New Roman" w:cs="Times New Roman"/>
          <w:i/>
          <w:iCs/>
          <w:sz w:val="24"/>
          <w:szCs w:val="24"/>
        </w:rPr>
        <w:t>Lupinus albus</w:t>
      </w:r>
      <w:r w:rsidRPr="005235D4">
        <w:rPr>
          <w:rFonts w:ascii="Times New Roman" w:hAnsi="Times New Roman" w:cs="Times New Roman"/>
          <w:sz w:val="24"/>
          <w:szCs w:val="24"/>
        </w:rPr>
        <w:t>, mijenja se kako slijedi: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5A241E49" w14:textId="77777777" w:rsidTr="005235D4">
        <w:tc>
          <w:tcPr>
            <w:tcW w:w="0" w:type="auto"/>
            <w:shd w:val="clear" w:color="auto" w:fill="FFFFFF"/>
            <w:hideMark/>
          </w:tcPr>
          <w:p w14:paraId="62E5A12E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shd w:val="clear" w:color="auto" w:fill="FFFFFF"/>
            <w:hideMark/>
          </w:tcPr>
          <w:p w14:paraId="1E65455E" w14:textId="72C4EA9B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Stupac „Čistoća” zamjenjuje se sljedećim:</w:t>
            </w:r>
          </w:p>
          <w:p w14:paraId="2E22F0F4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„Najmanja čistoća nije relevantna za ekstrakt.</w:t>
            </w:r>
          </w:p>
          <w:p w14:paraId="0D829743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Udio bjelančevina BLAD: 195 – 210 g/kg.</w:t>
            </w:r>
          </w:p>
          <w:p w14:paraId="65F197EA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Utvrđene su sljedeće relevantne nečistoće (od toksikološke, ekotoksikološke i/ili ekološke važnosti) proizvedene aktivne tvari:</w:t>
            </w:r>
          </w:p>
          <w:p w14:paraId="005DDD27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Ukupni kinolizidinski alkaloidi (QA): (</w:t>
            </w:r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lupanin, 13α-OH-lupanin, 13α-angeloiloksilupanin, lupinin, albin, angustofolin, 13α-tigloiloksilupanin, α-izolupanin, tetrahidrohombifolin, multiflorin, spartein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BF9DF49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 dopuštena količina: utvrđena na 0,05 g/kg.</w:t>
            </w:r>
          </w:p>
          <w:p w14:paraId="2BF7BD41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Razina </w:t>
            </w:r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lupanina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 kao markera: utvrđena na 0,035 g/kg.”;</w:t>
            </w:r>
          </w:p>
        </w:tc>
      </w:tr>
    </w:tbl>
    <w:p w14:paraId="36AAAEC9" w14:textId="77777777" w:rsidR="005235D4" w:rsidRPr="005235D4" w:rsidRDefault="005235D4" w:rsidP="005235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1D094D25" w14:textId="77777777" w:rsidTr="005235D4">
        <w:tc>
          <w:tcPr>
            <w:tcW w:w="0" w:type="auto"/>
            <w:shd w:val="clear" w:color="auto" w:fill="FFFFFF"/>
            <w:hideMark/>
          </w:tcPr>
          <w:p w14:paraId="4D002DCF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14:paraId="1AEA4168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stupac „Posebne odredbe” zamjenjuje se sljedećim:</w:t>
            </w:r>
          </w:p>
          <w:p w14:paraId="5A07C651" w14:textId="77777777" w:rsidR="00EA5F8B" w:rsidRDefault="005235D4" w:rsidP="005235D4">
            <w:pPr>
              <w:spacing w:before="120" w:after="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Za provedbu jedinstvenih načela iz propisa o jedinstvenim načelima uzimaju se u obzir zaključci izvješća o produljenju odobrenja za </w:t>
            </w:r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Lupinus albus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3CF1A30F" w14:textId="7BE64A8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 toj ukupnoj ocjeni</w:t>
            </w:r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potrebno je 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 posebnu pozornost na potrebne upute za označivanje koje se odnose na mjere za rješavanje problema pjenjenja i stabilnosti razrjeđivanja formulacije.”</w:t>
            </w:r>
          </w:p>
        </w:tc>
      </w:tr>
    </w:tbl>
    <w:p w14:paraId="2ACF02F2" w14:textId="0F9B7A0F" w:rsidR="00BC7A84" w:rsidRDefault="00BC7A84" w:rsidP="005235D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BBD2E0" w14:textId="38F9E2E5" w:rsidR="00EA5F8B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dijelu A Popisa briše se unos 1</w:t>
      </w:r>
      <w:r>
        <w:rPr>
          <w:rFonts w:ascii="Times New Roman" w:hAnsi="Times New Roman" w:cs="Times New Roman"/>
          <w:sz w:val="24"/>
          <w:szCs w:val="24"/>
          <w:lang w:val="sr-Latn-BA"/>
        </w:rPr>
        <w:t>91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Pr="00EA5F8B">
        <w:rPr>
          <w:rFonts w:ascii="Times New Roman" w:hAnsi="Times New Roman" w:cs="Times New Roman"/>
          <w:sz w:val="24"/>
          <w:szCs w:val="24"/>
        </w:rPr>
        <w:t>mepikvat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060BE74" w14:textId="77777777" w:rsidR="00EA5F8B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80"/>
        <w:gridCol w:w="2072"/>
        <w:gridCol w:w="2597"/>
        <w:gridCol w:w="1223"/>
        <w:gridCol w:w="1368"/>
        <w:gridCol w:w="4243"/>
      </w:tblGrid>
      <w:tr w:rsidR="00EA5F8B" w:rsidRPr="00EA5F8B" w14:paraId="72298F7E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7D8E84" w14:textId="413ED451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</w:t>
            </w: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D1522A" w14:textId="41713D18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Trivijalni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4A0AF9" w14:textId="77777777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93B3B7" w14:textId="6FAE7519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627BB3" w14:textId="6814650F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306490" w14:textId="77777777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8E9651" w14:textId="77777777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 odredbe</w:t>
            </w:r>
          </w:p>
        </w:tc>
      </w:tr>
      <w:tr w:rsidR="00EA5F8B" w:rsidRPr="00EA5F8B" w14:paraId="2A8B5C61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72CE75" w14:textId="2263F4AE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737BF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Mepikvat klorid</w:t>
            </w:r>
          </w:p>
          <w:p w14:paraId="3CD25AAD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24307-26-4</w:t>
            </w:r>
          </w:p>
          <w:p w14:paraId="6CED72D7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 br.: 440.302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5B93B2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1,1-dimetilpiperidinijev klorid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3DFB98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990 g/kg (teoretski suhi tehnički materijal, TC)</w:t>
            </w:r>
          </w:p>
          <w:p w14:paraId="34E9A74C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615 – 665 g/l (tehnički koncentrat, TK)</w:t>
            </w:r>
          </w:p>
          <w:p w14:paraId="02C3E77A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Nečistoća N-metilpiperidina ne smije 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prelaziti 3 g/kg (na temelju teoretske mase suhe tvari) odnosno 2 g/l (u tehničkom koncentratu, TK).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93F722" w14:textId="1B79F8DC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7C9597" w14:textId="3E38BAD3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29.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F2E215" w14:textId="6C90ABDE" w:rsidR="00EA5F8B" w:rsidRPr="00EA5F8B" w:rsidRDefault="0066478F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6647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provedbu jedinstvenih načela iz propisa o jedinstvenim načelima za ocjenjivanje FFS, pri donošenju odluke o registraciji uzimaju se u obzir i zaključci postupka razmatranja aktivne tvari od strane relevantnih tijela Europske unije</w:t>
            </w:r>
            <w:r w:rsidRPr="00DF26C0">
              <w:rPr>
                <w:lang w:val="hr-HR"/>
              </w:rPr>
              <w:t xml:space="preserve">. </w:t>
            </w:r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toj </w:t>
            </w:r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ukupnoj ocjeni </w:t>
            </w:r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 je</w:t>
            </w:r>
            <w:r w:rsidR="00EA5F8B"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obratiti posebnu pozornost na sljedeće: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988"/>
            </w:tblGrid>
            <w:tr w:rsidR="00EA5F8B" w:rsidRPr="00EA5F8B" w14:paraId="50543A1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DD8321F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A0797B8" w14:textId="77777777" w:rsidR="00EA5F8B" w:rsidRPr="00EA5F8B" w:rsidRDefault="00EA5F8B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 komercijalno proizvedenog tehničkog materijala,</w:t>
                  </w:r>
                </w:p>
              </w:tc>
            </w:tr>
          </w:tbl>
          <w:p w14:paraId="4A468DA7" w14:textId="77777777" w:rsidR="00EA5F8B" w:rsidRPr="00EA5F8B" w:rsidRDefault="00EA5F8B" w:rsidP="00EA5F8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988"/>
            </w:tblGrid>
            <w:tr w:rsidR="00EA5F8B" w:rsidRPr="00EA5F8B" w14:paraId="23A1F7C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FB52A12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41BA552" w14:textId="77777777" w:rsidR="00EA5F8B" w:rsidRPr="00EA5F8B" w:rsidRDefault="00EA5F8B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 korisnika sredstva te osigurati da uvjeti uporabe propisuju primjenu odgovarajućih osobnih zaštitnih sredstava.</w:t>
                  </w:r>
                </w:p>
              </w:tc>
            </w:tr>
          </w:tbl>
          <w:p w14:paraId="17AB87F4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 uporabe prema potrebi uključuju mjere za smanjenje rizika.</w:t>
            </w:r>
          </w:p>
        </w:tc>
      </w:tr>
    </w:tbl>
    <w:p w14:paraId="490DF8D0" w14:textId="35D6443C" w:rsidR="00EA5F8B" w:rsidRPr="007E5E90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 w:rsidR="002E1D88"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 w:rsidR="002E1D88">
        <w:rPr>
          <w:rFonts w:ascii="Times New Roman" w:hAnsi="Times New Roman" w:cs="Times New Roman"/>
          <w:sz w:val="24"/>
          <w:szCs w:val="24"/>
          <w:lang w:val="sr-Latn-BA"/>
        </w:rPr>
        <w:t>78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="002E1D88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metaflumizon</w:t>
      </w:r>
      <w:r w:rsidRPr="007E5E9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40E06C0F" w14:textId="7D6D66F4" w:rsidR="00896DAA" w:rsidRPr="00965397" w:rsidRDefault="00896DAA" w:rsidP="009653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5F2017AE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preuzimaju se odredbe:</w:t>
      </w:r>
    </w:p>
    <w:p w14:paraId="6D472CF0" w14:textId="1E10D851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2025/96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odobravanju osnovne tvari ekstrakt sjemenki Vitis vinifera L. (ekstrakt sjemenki grožđa) u skladu s Uredbom (EZ) br. 1107/2009 Europskog parlamenta i Vijeća i o izmjeni Provedbene uredbe Komisije (EU) br. 540/2011</w:t>
      </w:r>
    </w:p>
    <w:p w14:paraId="6AE4CC8E" w14:textId="36EA9562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 2025/99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izmjeni Provedbene uredbe (EU) br. 540/2011 u pogledu produljenja roka važenja odobrenja aktivnih tvari Aureobasidium pullulans (sojevi DSM 14940 i DSM 14941), Bacillus amyloliquefaciens subsp. plantarum D747, benalaksil-M, ciprodinil, diklorprop-P, formetanat, fosetil, halosulfuron-metil,</w:t>
      </w:r>
      <w:r w:rsidR="00E44075">
        <w:rPr>
          <w:rFonts w:ascii="Times New Roman" w:hAnsi="Times New Roman" w:cs="Times New Roman"/>
          <w:sz w:val="24"/>
          <w:szCs w:val="24"/>
        </w:rPr>
        <w:t xml:space="preserve"> </w:t>
      </w:r>
      <w:r w:rsidRPr="00944131">
        <w:rPr>
          <w:rFonts w:ascii="Times New Roman" w:hAnsi="Times New Roman" w:cs="Times New Roman"/>
          <w:sz w:val="24"/>
          <w:szCs w:val="24"/>
        </w:rPr>
        <w:t>milbemektin, fenmedifam, pirimikarb, Pseudomonas sp. soj DSMZ 13134, pirimetanil, piriofenon, piroksulam, spinosad, sumpor, Trichoderma harzianum Rifai sojevi T-22 i ITEM 908, Trichoderma asperellum (prije T. harzianum) sojevi ICC012, T-25 i TV-1, Trichoderma atroviride (prije T. harzianum) soj T11, Trichoderma gamsii (prije T. viride) soj ICC080, tritikonazol i ziram</w:t>
      </w:r>
    </w:p>
    <w:p w14:paraId="1B98A132" w14:textId="1498934D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2025/102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odobravanju aktivne tvari Pythium oligandrum B301 u skladu s Uredbom (EZ) br. 1107/2009 Europskog parlamenta i Vijeća i o izmjeni Provedbene uredbe Komisije (EU) br. 540/2011</w:t>
      </w:r>
    </w:p>
    <w:p w14:paraId="0E4676D0" w14:textId="5D11A936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2025/103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odobravanju aktivne tvari Betabaculovirus phoperculellae kao aktivne tvari niskog rizika u skladu s Uredbom (EZ) br. 1107/2009 Europskog parlamenta i Vijeća i o izmjeni Provedbene uredbe Komisije (EU) br. 540/2011</w:t>
      </w:r>
    </w:p>
    <w:p w14:paraId="349A9A31" w14:textId="5E43E306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lastRenderedPageBreak/>
        <w:t>Provedbena uredba Komisije (EU) 2025/106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odobravanju aktivne tvari Bacillus subtilis soj RTI477 kao aktivne tvari niskog rizika u skladu s Uredbom (EZ) br. 1107/2009 Europskog parlamenta i Vijeća i o izmjeni Provedbene uredbe Komisije (EU) br. 540/2011</w:t>
      </w:r>
    </w:p>
    <w:p w14:paraId="7C6F41ED" w14:textId="0CE8DCC8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2025/109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odobravanju aktivne tvari Bacillus velezensis soj RTI301 kao aktivne tvari niskog rizika u skladu s Uredbom (EZ) br. 1107/2009 Europskog parlamenta i Vijeća o stavljanju na tržište sredstava za zaštitu bilja te o izmjeni Provedbene uredbe Komisije (EU) br. 540/2011</w:t>
      </w:r>
    </w:p>
    <w:p w14:paraId="02A98218" w14:textId="729A3004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2025/119 оd 24.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izmjeni Provedbene uredbe (EU) br. 540/2011 u pogledu uvjeta za odobrenje aktivne tvari niskog rizika vodeni ekstrakt iz proklijalih sjemenki biljke slatki Lupinus albus</w:t>
      </w:r>
    </w:p>
    <w:p w14:paraId="288354AE" w14:textId="4EB4BA98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2025/150 оd 29.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produljenju odobrenja aktivne tvari mepikvat klorid u skladu s Uredbom (EZ) br. 1107/2009 Europskog parlamenta i Vijeća te o izmjeni Provedbene uredbe Komisije (EU) br. 540/2011</w:t>
      </w: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38405FB6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75E82F02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D64D87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08-02-2-7-1</w:t>
      </w:r>
      <w:r w:rsidR="00CE62E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6</w:t>
      </w:r>
      <w:r w:rsidR="00D64D87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2B3A784D" w:rsidR="00BD0B29" w:rsidRPr="007E5E90" w:rsidRDefault="00D64D87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20.3.2025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15E55877" w:rsidR="00140C41" w:rsidRPr="009B2CAF" w:rsidRDefault="00C86120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Predrag Jović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68F0E" w14:textId="77777777" w:rsidR="00E725C4" w:rsidRDefault="00E725C4" w:rsidP="00160C1D">
      <w:pPr>
        <w:spacing w:after="0" w:line="240" w:lineRule="auto"/>
      </w:pPr>
      <w:r>
        <w:separator/>
      </w:r>
    </w:p>
  </w:endnote>
  <w:endnote w:type="continuationSeparator" w:id="0">
    <w:p w14:paraId="25C3AC21" w14:textId="77777777" w:rsidR="00E725C4" w:rsidRDefault="00E725C4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8262" w14:textId="77777777" w:rsidR="00E725C4" w:rsidRDefault="00E725C4" w:rsidP="00160C1D">
      <w:pPr>
        <w:spacing w:after="0" w:line="240" w:lineRule="auto"/>
      </w:pPr>
      <w:r>
        <w:separator/>
      </w:r>
    </w:p>
  </w:footnote>
  <w:footnote w:type="continuationSeparator" w:id="0">
    <w:p w14:paraId="76566D13" w14:textId="77777777" w:rsidR="00E725C4" w:rsidRDefault="00E725C4" w:rsidP="00160C1D">
      <w:pPr>
        <w:spacing w:after="0" w:line="240" w:lineRule="auto"/>
      </w:pPr>
      <w:r>
        <w:continuationSeparator/>
      </w:r>
    </w:p>
  </w:footnote>
  <w:footnote w:id="1">
    <w:p w14:paraId="380F245F" w14:textId="77FCFF51" w:rsidR="00EA5F8B" w:rsidRPr="00EA0BD2" w:rsidRDefault="00EA5F8B" w:rsidP="00EA5F8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 w:rsidR="002E1D88">
        <w:rPr>
          <w:rFonts w:ascii="Times New Roman" w:hAnsi="Times New Roman" w:cs="Times New Roman"/>
        </w:rPr>
        <w:t>metaflumizon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 w:rsidR="002E1D8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0.</w:t>
      </w:r>
      <w:r w:rsidR="002E1D8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.202</w:t>
      </w:r>
      <w:r w:rsidR="002E1D88">
        <w:rPr>
          <w:rFonts w:ascii="Times New Roman" w:hAnsi="Times New Roman" w:cs="Times New Roman"/>
        </w:rPr>
        <w:t>6</w:t>
      </w:r>
      <w:r w:rsidRPr="00B27F86">
        <w:rPr>
          <w:rFonts w:ascii="Times New Roman" w:hAnsi="Times New Roman" w:cs="Times New Roman"/>
        </w:rPr>
        <w:t>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04C4"/>
    <w:rsid w:val="0006235F"/>
    <w:rsid w:val="00065BA2"/>
    <w:rsid w:val="00065D71"/>
    <w:rsid w:val="00066CFE"/>
    <w:rsid w:val="0007620B"/>
    <w:rsid w:val="00077E38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2FDE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1F94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468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5CDD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058BE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4586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77696"/>
    <w:rsid w:val="00581EEC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66BE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6478F"/>
    <w:rsid w:val="006710F3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1ACF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41B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4653C"/>
    <w:rsid w:val="0075164F"/>
    <w:rsid w:val="00767858"/>
    <w:rsid w:val="00770BCE"/>
    <w:rsid w:val="00771AE4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745FC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66F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A8"/>
    <w:rsid w:val="00962A2F"/>
    <w:rsid w:val="00963745"/>
    <w:rsid w:val="0096409A"/>
    <w:rsid w:val="00965397"/>
    <w:rsid w:val="00966BFA"/>
    <w:rsid w:val="00967E31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39F4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1AC0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57619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00B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8776A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20A7"/>
    <w:rsid w:val="00CB5D31"/>
    <w:rsid w:val="00CB62EF"/>
    <w:rsid w:val="00CC167C"/>
    <w:rsid w:val="00CC647A"/>
    <w:rsid w:val="00CE176E"/>
    <w:rsid w:val="00CE62E8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7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44075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25C4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5F8B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3761</TotalTime>
  <Pages>9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367</cp:revision>
  <cp:lastPrinted>2024-01-10T12:19:00Z</cp:lastPrinted>
  <dcterms:created xsi:type="dcterms:W3CDTF">2020-08-14T09:29:00Z</dcterms:created>
  <dcterms:modified xsi:type="dcterms:W3CDTF">2025-03-20T08:05:00Z</dcterms:modified>
</cp:coreProperties>
</file>